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C3C" w:rsidRDefault="00374C3C" w:rsidP="00DD3BDC">
      <w:pPr>
        <w:spacing w:line="480" w:lineRule="auto"/>
        <w:jc w:val="center"/>
      </w:pPr>
    </w:p>
    <w:p w:rsidR="00374C3C" w:rsidRDefault="00374C3C" w:rsidP="00DD3BDC">
      <w:pPr>
        <w:spacing w:line="480" w:lineRule="auto"/>
        <w:jc w:val="center"/>
      </w:pPr>
    </w:p>
    <w:p w:rsidR="00374C3C" w:rsidRDefault="00374C3C" w:rsidP="00DD3BDC">
      <w:pPr>
        <w:spacing w:line="480" w:lineRule="auto"/>
        <w:jc w:val="center"/>
      </w:pPr>
    </w:p>
    <w:p w:rsidR="00374C3C" w:rsidRDefault="00374C3C" w:rsidP="00DD3BDC">
      <w:pPr>
        <w:spacing w:line="480" w:lineRule="auto"/>
        <w:jc w:val="center"/>
      </w:pPr>
    </w:p>
    <w:p w:rsidR="00B06267" w:rsidRDefault="00B06267" w:rsidP="00DD3BDC">
      <w:pPr>
        <w:spacing w:line="480" w:lineRule="auto"/>
        <w:jc w:val="center"/>
      </w:pPr>
    </w:p>
    <w:p w:rsidR="00B06267" w:rsidRDefault="00B06267" w:rsidP="00DD3BDC">
      <w:pPr>
        <w:spacing w:line="480" w:lineRule="auto"/>
        <w:jc w:val="center"/>
      </w:pPr>
    </w:p>
    <w:p w:rsidR="00374C3C" w:rsidRDefault="00374C3C" w:rsidP="00DD3BDC">
      <w:pPr>
        <w:spacing w:line="480" w:lineRule="auto"/>
        <w:jc w:val="center"/>
      </w:pPr>
    </w:p>
    <w:p w:rsidR="00B634D3" w:rsidRDefault="00B634D3" w:rsidP="00DD3BDC">
      <w:pPr>
        <w:spacing w:line="480" w:lineRule="auto"/>
        <w:jc w:val="center"/>
      </w:pPr>
      <w:r>
        <w:t>The Man Box</w:t>
      </w:r>
      <w:r w:rsidR="00DD3BDC">
        <w:t>.</w:t>
      </w:r>
    </w:p>
    <w:p w:rsidR="00DD3BDC" w:rsidRDefault="00DD3BDC" w:rsidP="00DD3BDC">
      <w:pPr>
        <w:spacing w:line="480" w:lineRule="auto"/>
        <w:jc w:val="center"/>
      </w:pPr>
      <w:r>
        <w:t>Name.</w:t>
      </w:r>
    </w:p>
    <w:p w:rsidR="00DD3BDC" w:rsidRDefault="00DD3BDC" w:rsidP="00DD3BDC">
      <w:pPr>
        <w:spacing w:line="480" w:lineRule="auto"/>
        <w:jc w:val="center"/>
      </w:pPr>
      <w:r>
        <w:t>Institution.</w:t>
      </w:r>
    </w:p>
    <w:p w:rsidR="00DD3BDC" w:rsidRDefault="00DD3BDC" w:rsidP="00DD3BDC">
      <w:pPr>
        <w:spacing w:line="480" w:lineRule="auto"/>
        <w:jc w:val="center"/>
      </w:pPr>
      <w:r>
        <w:t>Date.</w:t>
      </w:r>
    </w:p>
    <w:p w:rsidR="00374C3C" w:rsidRDefault="00374C3C" w:rsidP="00DD3BDC">
      <w:pPr>
        <w:spacing w:line="480" w:lineRule="auto"/>
        <w:jc w:val="center"/>
      </w:pPr>
    </w:p>
    <w:p w:rsidR="00374C3C" w:rsidRDefault="00374C3C" w:rsidP="00DD3BDC">
      <w:pPr>
        <w:spacing w:line="480" w:lineRule="auto"/>
        <w:jc w:val="center"/>
      </w:pPr>
    </w:p>
    <w:p w:rsidR="00374C3C" w:rsidRDefault="00374C3C" w:rsidP="00DD3BDC">
      <w:pPr>
        <w:spacing w:line="480" w:lineRule="auto"/>
        <w:jc w:val="center"/>
      </w:pPr>
    </w:p>
    <w:p w:rsidR="00374C3C" w:rsidRDefault="00374C3C" w:rsidP="00DD3BDC">
      <w:pPr>
        <w:spacing w:line="480" w:lineRule="auto"/>
        <w:jc w:val="center"/>
      </w:pPr>
    </w:p>
    <w:p w:rsidR="00374C3C" w:rsidRDefault="00374C3C" w:rsidP="00DD3BDC">
      <w:pPr>
        <w:spacing w:line="480" w:lineRule="auto"/>
        <w:jc w:val="center"/>
      </w:pPr>
    </w:p>
    <w:p w:rsidR="00374C3C" w:rsidRDefault="00374C3C" w:rsidP="00DD3BDC">
      <w:pPr>
        <w:spacing w:line="480" w:lineRule="auto"/>
        <w:jc w:val="center"/>
      </w:pPr>
    </w:p>
    <w:p w:rsidR="00B06267" w:rsidRDefault="00B06267" w:rsidP="00DD3BDC">
      <w:pPr>
        <w:spacing w:line="480" w:lineRule="auto"/>
        <w:jc w:val="center"/>
      </w:pPr>
    </w:p>
    <w:p w:rsidR="00DD3BDC" w:rsidRDefault="00DD3BDC" w:rsidP="00DD3BDC">
      <w:pPr>
        <w:spacing w:line="480" w:lineRule="auto"/>
        <w:jc w:val="center"/>
      </w:pPr>
      <w:r>
        <w:lastRenderedPageBreak/>
        <w:t>The Man Box</w:t>
      </w:r>
    </w:p>
    <w:p w:rsidR="00B06267" w:rsidRDefault="00B06267" w:rsidP="00B06267">
      <w:pPr>
        <w:spacing w:line="480" w:lineRule="auto"/>
        <w:ind w:firstLine="720"/>
      </w:pPr>
      <w:r>
        <w:t>The man box is a set of beliefs or teachings by parents, media, peers, or other members of the society. According to Tony Porter, man box is the specific way a man is supposed to behave in a society (Porter, 2010). Gender serves as an important social institution in every society. In the social construction of gender, there is a specific way in which society expects the male gender to behave. These society expectations are what Porter calls man box, and according to him, the man box sets the limits that a man should be. In her essay, the Night To His Day, Judith Lorber argues that there are norms that society adds to gender, which differentiate men and women. This essay will reflects on Tony Porter Ted talk on men as well as Judith Lorber's essay, Night to His Day to show how the society expectations on a man.</w:t>
      </w:r>
    </w:p>
    <w:p w:rsidR="00B06267" w:rsidRDefault="00B06267" w:rsidP="00B06267">
      <w:pPr>
        <w:spacing w:line="480" w:lineRule="auto"/>
        <w:ind w:firstLine="720"/>
      </w:pPr>
      <w:r>
        <w:t xml:space="preserve">The gender construction starts at birth based on how the genitalia looks like. Porter's Ted talk is about the man box. The man box contains identifications on what a man should be or what he should believe. According to him, the core elements of the man box are, successful, powerful, dominating, strong, and emotionless, and in control and fearless (Porter, 2010). On the contrary, in the man box, females are mere objects, have less value than males, and are the property of men. In addition, the man box allows the marginalization of groups as well as violence against women. According to Lorber, the behavior of a man is constructed from a plethora of human perspectives. She asserts, "as a social institution, gender is one of the major ways that human beings organize their lives" (Lorber, 2015). The society has played largely on how men behave in many instances of their lives. For instance, men walk strongly by pushing their steps farther and stably. On the other side, women have been taught to walk slowly and more peaceful than men. </w:t>
      </w:r>
    </w:p>
    <w:p w:rsidR="00B06267" w:rsidRDefault="00B06267" w:rsidP="00B06267">
      <w:pPr>
        <w:spacing w:line="480" w:lineRule="auto"/>
        <w:ind w:firstLine="720"/>
      </w:pPr>
      <w:r>
        <w:lastRenderedPageBreak/>
        <w:t xml:space="preserve">The teachings of the man box pose detrimental effects to men lives. The major problem of the man box is that the men are only expected to behave in a particular way and if they do not in the societies "fixed" man box they are not labeled as men (Porter, 2010). For example, a man who does not fight back when shoved is not referred to as a man.  As a result, men are afraid to get outside of the man box. The net result of men imprisoned in the man box is depression. </w:t>
      </w:r>
    </w:p>
    <w:p w:rsidR="00B06267" w:rsidRDefault="00B06267" w:rsidP="00B06267">
      <w:pPr>
        <w:spacing w:line="480" w:lineRule="auto"/>
        <w:ind w:firstLine="720"/>
      </w:pPr>
      <w:r>
        <w:t xml:space="preserve">The mentality of men who are in the man box can escalate to disrespecting and mistreating women. To solve this, Porter makes a rallying call to all men across the globe to not "act like a man." Porter's assertion "that my liberation as a man is tied to your liberation as a woman" is his advocacy for gender equality in the society (Porter, 2010). On the other hand, Lorber believes that men and women are the cause of life for each other with the society being a connection to the two genders. Lorber argues that for the society to break the social norm which brings belief of the man box, it should consider the gender similarities rather than differences. </w:t>
      </w:r>
    </w:p>
    <w:p w:rsidR="00B06267" w:rsidRDefault="00B06267" w:rsidP="00B06267">
      <w:pPr>
        <w:spacing w:line="480" w:lineRule="auto"/>
        <w:ind w:firstLine="720"/>
      </w:pPr>
      <w:r>
        <w:t xml:space="preserve">Man box is a detrimental set of belief set by society regarding how men should behave. When men enter the "man box," they find it very hard to live since they will be regarded as lesser men based on the core essentials of the man box. Moreover, the teachings of the man box are harmful to society since they imply disregarding and mistreating women. Porter's solution to break out of the man box is to stop acting like a man. </w:t>
      </w:r>
    </w:p>
    <w:p w:rsidR="002667BB" w:rsidRDefault="00374C3C" w:rsidP="00DD3BDC">
      <w:pPr>
        <w:spacing w:line="480" w:lineRule="auto"/>
        <w:ind w:firstLine="720"/>
      </w:pPr>
      <w:r w:rsidRPr="00043E26">
        <w:t xml:space="preserve"> </w:t>
      </w:r>
    </w:p>
    <w:p w:rsidR="00374C3C" w:rsidRDefault="00374C3C" w:rsidP="00DD3BDC">
      <w:pPr>
        <w:spacing w:line="480" w:lineRule="auto"/>
        <w:jc w:val="center"/>
      </w:pPr>
    </w:p>
    <w:p w:rsidR="00374C3C" w:rsidRDefault="00374C3C" w:rsidP="00DD3BDC">
      <w:pPr>
        <w:spacing w:line="480" w:lineRule="auto"/>
        <w:jc w:val="center"/>
      </w:pPr>
    </w:p>
    <w:p w:rsidR="00043E26" w:rsidRDefault="00043E26" w:rsidP="00DD3BDC">
      <w:pPr>
        <w:spacing w:line="480" w:lineRule="auto"/>
        <w:jc w:val="center"/>
      </w:pPr>
    </w:p>
    <w:p w:rsidR="00DD3BDC" w:rsidRDefault="00DD3BDC" w:rsidP="00DD3BDC">
      <w:pPr>
        <w:spacing w:line="480" w:lineRule="auto"/>
        <w:jc w:val="center"/>
      </w:pPr>
      <w:r>
        <w:lastRenderedPageBreak/>
        <w:t>References</w:t>
      </w:r>
    </w:p>
    <w:p w:rsidR="00374C3C" w:rsidRDefault="007F5D3C" w:rsidP="00374C3C">
      <w:pPr>
        <w:pStyle w:val="Bibliography"/>
        <w:spacing w:line="480" w:lineRule="auto"/>
        <w:ind w:left="720" w:hanging="720"/>
        <w:rPr>
          <w:noProof/>
        </w:rPr>
      </w:pPr>
      <w:r>
        <w:fldChar w:fldCharType="begin"/>
      </w:r>
      <w:r w:rsidR="00374C3C">
        <w:instrText xml:space="preserve"> BIBLIOGRAPHY  \l 1033 </w:instrText>
      </w:r>
      <w:r>
        <w:fldChar w:fldCharType="separate"/>
      </w:r>
      <w:r w:rsidR="00374C3C">
        <w:rPr>
          <w:noProof/>
        </w:rPr>
        <w:t>Lorber, J. (2015). Night To His Day.</w:t>
      </w:r>
      <w:r w:rsidR="00043E26">
        <w:rPr>
          <w:noProof/>
        </w:rPr>
        <w:t>Routledge</w:t>
      </w:r>
    </w:p>
    <w:p w:rsidR="00374C3C" w:rsidRDefault="00374C3C" w:rsidP="00374C3C">
      <w:pPr>
        <w:pStyle w:val="Bibliography"/>
        <w:spacing w:line="480" w:lineRule="auto"/>
        <w:ind w:left="720" w:hanging="720"/>
        <w:rPr>
          <w:noProof/>
        </w:rPr>
      </w:pPr>
      <w:r>
        <w:rPr>
          <w:noProof/>
        </w:rPr>
        <w:t xml:space="preserve">Porter, T. (2010). </w:t>
      </w:r>
      <w:r>
        <w:rPr>
          <w:i/>
          <w:iCs/>
          <w:noProof/>
        </w:rPr>
        <w:t>A Call To Men</w:t>
      </w:r>
      <w:r>
        <w:rPr>
          <w:noProof/>
        </w:rPr>
        <w:t>. Retrieved May 31, 2019, from Ted.com: https://www.ted.com/talks/tony_porter_a_call_to_men</w:t>
      </w:r>
    </w:p>
    <w:p w:rsidR="00374C3C" w:rsidRPr="005C366E" w:rsidRDefault="007F5D3C" w:rsidP="00374C3C">
      <w:pPr>
        <w:spacing w:line="480" w:lineRule="auto"/>
        <w:ind w:left="720" w:hanging="720"/>
      </w:pPr>
      <w:r>
        <w:fldChar w:fldCharType="end"/>
      </w:r>
    </w:p>
    <w:p w:rsidR="004C10A6" w:rsidRDefault="004C10A6" w:rsidP="00E23480">
      <w:pPr>
        <w:spacing w:line="480" w:lineRule="auto"/>
      </w:pPr>
    </w:p>
    <w:p w:rsidR="00B634D3" w:rsidRDefault="00B634D3" w:rsidP="00E23480">
      <w:pPr>
        <w:spacing w:line="480" w:lineRule="auto"/>
      </w:pPr>
    </w:p>
    <w:p w:rsidR="00B634D3" w:rsidRDefault="00B634D3" w:rsidP="00E23480">
      <w:pPr>
        <w:spacing w:line="480" w:lineRule="auto"/>
      </w:pPr>
    </w:p>
    <w:sectPr w:rsidR="00B634D3" w:rsidSect="00B634D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C07B5" w:rsidRDefault="00DC07B5" w:rsidP="00B634D3">
      <w:pPr>
        <w:spacing w:after="0" w:line="240" w:lineRule="auto"/>
      </w:pPr>
      <w:r>
        <w:separator/>
      </w:r>
    </w:p>
  </w:endnote>
  <w:endnote w:type="continuationSeparator" w:id="1">
    <w:p w:rsidR="00DC07B5" w:rsidRDefault="00DC07B5" w:rsidP="00B634D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C07B5" w:rsidRDefault="00DC07B5" w:rsidP="00B634D3">
      <w:pPr>
        <w:spacing w:after="0" w:line="240" w:lineRule="auto"/>
      </w:pPr>
      <w:r>
        <w:separator/>
      </w:r>
    </w:p>
  </w:footnote>
  <w:footnote w:type="continuationSeparator" w:id="1">
    <w:p w:rsidR="00DC07B5" w:rsidRDefault="00DC07B5" w:rsidP="00B634D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66E" w:rsidRDefault="005C366E">
    <w:pPr>
      <w:pStyle w:val="Header"/>
      <w:jc w:val="right"/>
    </w:pPr>
    <w:r>
      <w:t xml:space="preserve">THE MAN BOX                                                                                                                              </w:t>
    </w:r>
    <w:sdt>
      <w:sdtPr>
        <w:id w:val="8946489"/>
        <w:docPartObj>
          <w:docPartGallery w:val="Page Numbers (Top of Page)"/>
          <w:docPartUnique/>
        </w:docPartObj>
      </w:sdtPr>
      <w:sdtContent>
        <w:fldSimple w:instr=" PAGE   \* MERGEFORMAT ">
          <w:r w:rsidR="00B06267">
            <w:rPr>
              <w:noProof/>
            </w:rPr>
            <w:t>4</w:t>
          </w:r>
        </w:fldSimple>
      </w:sdtContent>
    </w:sdt>
  </w:p>
  <w:p w:rsidR="005C366E" w:rsidRDefault="005C366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66E" w:rsidRDefault="005C366E">
    <w:pPr>
      <w:pStyle w:val="Header"/>
      <w:jc w:val="right"/>
    </w:pPr>
    <w:r>
      <w:t xml:space="preserve">Running head: THE MAN BOX                                                                                                      </w:t>
    </w:r>
    <w:sdt>
      <w:sdtPr>
        <w:id w:val="8946344"/>
        <w:docPartObj>
          <w:docPartGallery w:val="Page Numbers (Top of Page)"/>
          <w:docPartUnique/>
        </w:docPartObj>
      </w:sdtPr>
      <w:sdtContent>
        <w:fldSimple w:instr=" PAGE   \* MERGEFORMAT ">
          <w:r w:rsidR="00B06267">
            <w:rPr>
              <w:noProof/>
            </w:rPr>
            <w:t>1</w:t>
          </w:r>
        </w:fldSimple>
      </w:sdtContent>
    </w:sdt>
  </w:p>
  <w:p w:rsidR="005C366E" w:rsidRDefault="005C366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A92907"/>
    <w:rsid w:val="00043E26"/>
    <w:rsid w:val="00095109"/>
    <w:rsid w:val="000D4714"/>
    <w:rsid w:val="00253F7D"/>
    <w:rsid w:val="002667BB"/>
    <w:rsid w:val="002860FD"/>
    <w:rsid w:val="00374C3C"/>
    <w:rsid w:val="003C49E6"/>
    <w:rsid w:val="004C10A6"/>
    <w:rsid w:val="005739D7"/>
    <w:rsid w:val="005C366E"/>
    <w:rsid w:val="007F5D3C"/>
    <w:rsid w:val="009976C6"/>
    <w:rsid w:val="009F707E"/>
    <w:rsid w:val="00A03031"/>
    <w:rsid w:val="00A92907"/>
    <w:rsid w:val="00B06267"/>
    <w:rsid w:val="00B634D3"/>
    <w:rsid w:val="00B92903"/>
    <w:rsid w:val="00C71466"/>
    <w:rsid w:val="00CE5BD3"/>
    <w:rsid w:val="00D47510"/>
    <w:rsid w:val="00DC07B5"/>
    <w:rsid w:val="00DD3BDC"/>
    <w:rsid w:val="00E23480"/>
    <w:rsid w:val="00FA0CF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4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34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34D3"/>
  </w:style>
  <w:style w:type="paragraph" w:styleId="Footer">
    <w:name w:val="footer"/>
    <w:basedOn w:val="Normal"/>
    <w:link w:val="FooterChar"/>
    <w:uiPriority w:val="99"/>
    <w:semiHidden/>
    <w:unhideWhenUsed/>
    <w:rsid w:val="00B634D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634D3"/>
  </w:style>
  <w:style w:type="paragraph" w:styleId="BalloonText">
    <w:name w:val="Balloon Text"/>
    <w:basedOn w:val="Normal"/>
    <w:link w:val="BalloonTextChar"/>
    <w:uiPriority w:val="99"/>
    <w:semiHidden/>
    <w:unhideWhenUsed/>
    <w:rsid w:val="00374C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4C3C"/>
    <w:rPr>
      <w:rFonts w:ascii="Tahoma" w:hAnsi="Tahoma" w:cs="Tahoma"/>
      <w:sz w:val="16"/>
      <w:szCs w:val="16"/>
    </w:rPr>
  </w:style>
  <w:style w:type="paragraph" w:styleId="Bibliography">
    <w:name w:val="Bibliography"/>
    <w:basedOn w:val="Normal"/>
    <w:next w:val="Normal"/>
    <w:uiPriority w:val="37"/>
    <w:unhideWhenUsed/>
    <w:rsid w:val="00374C3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Por10</b:Tag>
    <b:SourceType>InternetSite</b:SourceType>
    <b:Guid>{58D1BE93-445B-4470-B33E-A0522842E863}</b:Guid>
    <b:LCID>0</b:LCID>
    <b:Author>
      <b:Author>
        <b:NameList>
          <b:Person>
            <b:Last>Porter</b:Last>
            <b:First>T.</b:First>
          </b:Person>
        </b:NameList>
      </b:Author>
    </b:Author>
    <b:Title>A Call To Men</b:Title>
    <b:Year>2010</b:Year>
    <b:InternetSiteTitle>Ted.com</b:InternetSiteTitle>
    <b:YearAccessed>2019</b:YearAccessed>
    <b:MonthAccessed>May</b:MonthAccessed>
    <b:DayAccessed>31</b:DayAccessed>
    <b:URL>https://www.ted.com/talks/tony_porter_a_call_to_men</b:URL>
    <b:RefOrder>1</b:RefOrder>
  </b:Source>
  <b:Source>
    <b:Tag>Lor15</b:Tag>
    <b:SourceType>JournalArticle</b:SourceType>
    <b:Guid>{0311AD5E-DC47-4AA1-919A-E966FCAFA6AD}</b:Guid>
    <b:LCID>0</b:LCID>
    <b:Author>
      <b:Author>
        <b:NameList>
          <b:Person>
            <b:Last>Lorber</b:Last>
            <b:First>J</b:First>
          </b:Person>
        </b:NameList>
      </b:Author>
    </b:Author>
    <b:Title>Night To His Day</b:Title>
    <b:Year>2015</b:Year>
    <b:RefOrder>2</b:RefOrder>
  </b:Source>
</b:Sources>
</file>

<file path=customXml/itemProps1.xml><?xml version="1.0" encoding="utf-8"?>
<ds:datastoreItem xmlns:ds="http://schemas.openxmlformats.org/officeDocument/2006/customXml" ds:itemID="{96530B77-E8E2-4300-A159-465473B774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552</Words>
  <Characters>3153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dc:creator>
  <cp:lastModifiedBy>ADM</cp:lastModifiedBy>
  <cp:revision>2</cp:revision>
  <dcterms:created xsi:type="dcterms:W3CDTF">2019-05-31T11:26:00Z</dcterms:created>
  <dcterms:modified xsi:type="dcterms:W3CDTF">2019-05-31T11:26:00Z</dcterms:modified>
</cp:coreProperties>
</file>